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B6F2D" w14:textId="2903EA2F" w:rsidR="00186A68" w:rsidRPr="0032294D" w:rsidRDefault="00186A68" w:rsidP="0032294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40"/>
        </w:rPr>
      </w:pPr>
      <w:r w:rsidRPr="0032294D">
        <w:rPr>
          <w:b/>
          <w:sz w:val="40"/>
        </w:rPr>
        <w:t>Legal Sector Advisors &amp; Suppliers</w:t>
      </w:r>
      <w:r w:rsidR="00993D87">
        <w:rPr>
          <w:b/>
          <w:sz w:val="40"/>
        </w:rPr>
        <w:t>+2</w:t>
      </w:r>
      <w:r w:rsidRPr="0032294D">
        <w:rPr>
          <w:b/>
          <w:sz w:val="40"/>
        </w:rPr>
        <w:t xml:space="preserve"> (LSAS</w:t>
      </w:r>
      <w:r w:rsidR="00993D87">
        <w:rPr>
          <w:b/>
          <w:sz w:val="40"/>
        </w:rPr>
        <w:t>+2</w:t>
      </w:r>
      <w:r w:rsidRPr="0032294D">
        <w:rPr>
          <w:b/>
          <w:sz w:val="40"/>
        </w:rPr>
        <w:t>)</w:t>
      </w:r>
      <w:r w:rsidR="00F34435" w:rsidRPr="0032294D">
        <w:rPr>
          <w:b/>
          <w:sz w:val="40"/>
        </w:rPr>
        <w:t xml:space="preserve"> Conference</w:t>
      </w:r>
    </w:p>
    <w:p w14:paraId="35F5EA92" w14:textId="77777777" w:rsidR="0032294D" w:rsidRDefault="0032294D" w:rsidP="00F34435">
      <w:pPr>
        <w:jc w:val="center"/>
      </w:pPr>
    </w:p>
    <w:p w14:paraId="1084E1E6" w14:textId="52B38C9F" w:rsidR="00686AD8" w:rsidRDefault="00993D87" w:rsidP="00993D87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It’s an extension of the LSAS conference </w:t>
      </w:r>
      <w:r w:rsidR="00F14FCA">
        <w:rPr>
          <w:rFonts w:eastAsia="Times New Roman" w:cs="Times New Roman"/>
        </w:rPr>
        <w:t>that we successfully ran in 201</w:t>
      </w:r>
      <w:r w:rsidR="00B559F5">
        <w:rPr>
          <w:rFonts w:eastAsia="Times New Roman" w:cs="Times New Roman"/>
        </w:rPr>
        <w:t>7</w:t>
      </w:r>
      <w:r w:rsidR="00600AC7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201</w:t>
      </w:r>
      <w:r w:rsidR="00B559F5">
        <w:rPr>
          <w:rFonts w:eastAsia="Times New Roman" w:cs="Times New Roman"/>
        </w:rPr>
        <w:t>8</w:t>
      </w:r>
      <w:r w:rsidR="00600AC7">
        <w:rPr>
          <w:rFonts w:eastAsia="Times New Roman" w:cs="Times New Roman"/>
        </w:rPr>
        <w:t xml:space="preserve"> &amp; 2019</w:t>
      </w:r>
      <w:r>
        <w:rPr>
          <w:rFonts w:eastAsia="Times New Roman" w:cs="Times New Roman"/>
        </w:rPr>
        <w:t>.</w:t>
      </w:r>
    </w:p>
    <w:p w14:paraId="46FFE521" w14:textId="6205F449" w:rsidR="002D7E15" w:rsidRDefault="002D7E15" w:rsidP="00993D87">
      <w:pPr>
        <w:jc w:val="center"/>
        <w:rPr>
          <w:rFonts w:eastAsia="Times New Roman" w:cs="Times New Roman"/>
        </w:rPr>
      </w:pPr>
    </w:p>
    <w:p w14:paraId="1979716F" w14:textId="5B34DCC1" w:rsidR="002D7E15" w:rsidRPr="002D7E15" w:rsidRDefault="002D7E15" w:rsidP="00993D87">
      <w:pPr>
        <w:jc w:val="center"/>
        <w:rPr>
          <w:b/>
          <w:sz w:val="24"/>
        </w:rPr>
      </w:pPr>
      <w:r w:rsidRPr="002D7E15">
        <w:rPr>
          <w:b/>
          <w:sz w:val="24"/>
        </w:rPr>
        <w:t>Who?</w:t>
      </w:r>
    </w:p>
    <w:p w14:paraId="1605B70D" w14:textId="0290856B" w:rsidR="002D7E15" w:rsidRPr="00993D87" w:rsidRDefault="002D7E15" w:rsidP="00993D87">
      <w:pPr>
        <w:jc w:val="center"/>
        <w:rPr>
          <w:rFonts w:eastAsia="Times New Roman" w:cs="Times New Roman"/>
        </w:rPr>
      </w:pPr>
      <w:r>
        <w:t xml:space="preserve">An </w:t>
      </w:r>
      <w:r w:rsidRPr="00993D87">
        <w:rPr>
          <w:b/>
        </w:rPr>
        <w:t>invitation only</w:t>
      </w:r>
      <w:r>
        <w:t xml:space="preserve"> conference open to suppliers of technology, goods &amp; services to the U.K. legal sector who are prepared to stump up and pay for two of their clients to attend with them.</w:t>
      </w:r>
      <w:r w:rsidR="00CF0099">
        <w:t xml:space="preserve">  20 suppliers each bringing two guests.</w:t>
      </w:r>
    </w:p>
    <w:p w14:paraId="54DAF225" w14:textId="77777777" w:rsidR="00186A68" w:rsidRDefault="00186A68" w:rsidP="00186A68"/>
    <w:p w14:paraId="6E885B1E" w14:textId="77777777" w:rsidR="00F34435" w:rsidRPr="003F4579" w:rsidRDefault="00F34435" w:rsidP="00F34435">
      <w:pPr>
        <w:jc w:val="center"/>
        <w:rPr>
          <w:b/>
          <w:sz w:val="24"/>
        </w:rPr>
      </w:pPr>
      <w:r w:rsidRPr="003F4579">
        <w:rPr>
          <w:b/>
          <w:sz w:val="24"/>
        </w:rPr>
        <w:t>Why?</w:t>
      </w:r>
    </w:p>
    <w:p w14:paraId="001C7A66" w14:textId="26BD5C4C" w:rsidR="00F34435" w:rsidRPr="00CF0099" w:rsidRDefault="00993D87" w:rsidP="00CF0099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1) Cross-selling 2) Bonding with your best clients in a learning and social </w:t>
      </w:r>
      <w:r w:rsidR="00CD0CB6">
        <w:rPr>
          <w:rFonts w:eastAsia="Times New Roman" w:cs="Times New Roman"/>
        </w:rPr>
        <w:t>environment</w:t>
      </w:r>
      <w:r>
        <w:rPr>
          <w:rFonts w:eastAsia="Times New Roman" w:cs="Times New Roman"/>
        </w:rPr>
        <w:t>.</w:t>
      </w:r>
      <w:r w:rsidR="00F34435">
        <w:rPr>
          <w:rFonts w:eastAsia="Times New Roman" w:cs="Times New Roman"/>
        </w:rPr>
        <w:t> </w:t>
      </w:r>
      <w:r w:rsidR="00F34435">
        <w:rPr>
          <w:rFonts w:eastAsia="Times New Roman" w:cs="Times New Roman"/>
        </w:rPr>
        <w:br/>
        <w:t>The aim is to spend an evening &amp; day building those crucial networks within the industry</w:t>
      </w:r>
      <w:r>
        <w:rPr>
          <w:rFonts w:eastAsia="Times New Roman" w:cs="Times New Roman"/>
        </w:rPr>
        <w:t xml:space="preserve"> and perhaps find a new client</w:t>
      </w:r>
      <w:r w:rsidR="00F31325">
        <w:rPr>
          <w:rFonts w:eastAsia="Times New Roman" w:cs="Times New Roman"/>
        </w:rPr>
        <w:t>.</w:t>
      </w:r>
    </w:p>
    <w:p w14:paraId="5F904F21" w14:textId="77777777" w:rsidR="00186A68" w:rsidRDefault="00186A68" w:rsidP="00186A68"/>
    <w:p w14:paraId="3E38880C" w14:textId="77777777" w:rsidR="004F0A81" w:rsidRPr="003F4579" w:rsidRDefault="00F34435" w:rsidP="004F0A81">
      <w:pPr>
        <w:jc w:val="center"/>
        <w:rPr>
          <w:b/>
          <w:sz w:val="24"/>
        </w:rPr>
      </w:pPr>
      <w:r w:rsidRPr="003F4579">
        <w:rPr>
          <w:b/>
          <w:sz w:val="24"/>
        </w:rPr>
        <w:t>When?</w:t>
      </w:r>
    </w:p>
    <w:p w14:paraId="19C7FB2B" w14:textId="48155E77" w:rsidR="004F0A81" w:rsidRDefault="00600AC7" w:rsidP="004F0A81">
      <w:pPr>
        <w:jc w:val="center"/>
      </w:pPr>
      <w:r>
        <w:t>TBC</w:t>
      </w:r>
    </w:p>
    <w:p w14:paraId="27FB6D0D" w14:textId="04E8BEE1" w:rsidR="004F0A81" w:rsidRDefault="00993D87" w:rsidP="004F0A81">
      <w:pPr>
        <w:jc w:val="center"/>
      </w:pPr>
      <w:r>
        <w:t xml:space="preserve">Conference daytime on </w:t>
      </w:r>
      <w:r w:rsidR="00F14FCA">
        <w:t xml:space="preserve">either </w:t>
      </w:r>
      <w:r>
        <w:t>a Tuesday, Wednesday or Thursday</w:t>
      </w:r>
    </w:p>
    <w:p w14:paraId="739349AF" w14:textId="1EB86FEB" w:rsidR="004F0A81" w:rsidRDefault="00993D87" w:rsidP="004F0A81">
      <w:pPr>
        <w:jc w:val="center"/>
      </w:pPr>
      <w:r>
        <w:t>Dinner the evening after the conference</w:t>
      </w:r>
      <w:r w:rsidR="00F31325">
        <w:t>.</w:t>
      </w:r>
    </w:p>
    <w:p w14:paraId="747EC717" w14:textId="77777777" w:rsidR="004F0A81" w:rsidRDefault="004F0A81" w:rsidP="004F0A81">
      <w:pPr>
        <w:jc w:val="center"/>
      </w:pPr>
    </w:p>
    <w:p w14:paraId="3EA8BBC3" w14:textId="77777777" w:rsidR="004F0A81" w:rsidRPr="003F4579" w:rsidRDefault="00F34435" w:rsidP="004F0A81">
      <w:pPr>
        <w:jc w:val="center"/>
        <w:rPr>
          <w:b/>
          <w:sz w:val="24"/>
        </w:rPr>
      </w:pPr>
      <w:r w:rsidRPr="003F4579">
        <w:rPr>
          <w:b/>
          <w:sz w:val="24"/>
        </w:rPr>
        <w:t>Where?</w:t>
      </w:r>
    </w:p>
    <w:p w14:paraId="6A37EBCC" w14:textId="14D57CAF" w:rsidR="004F0A81" w:rsidRDefault="004F0A81" w:rsidP="004F0A81">
      <w:pPr>
        <w:jc w:val="center"/>
      </w:pPr>
      <w:r>
        <w:t xml:space="preserve">Ardencote, </w:t>
      </w:r>
      <w:proofErr w:type="spellStart"/>
      <w:r w:rsidRPr="004F0A81">
        <w:t>The Cumse</w:t>
      </w:r>
      <w:proofErr w:type="spellEnd"/>
      <w:r w:rsidRPr="004F0A81">
        <w:t>y, Lye Green Road, Claverdon, Warwick, CV35 8LT</w:t>
      </w:r>
      <w:r w:rsidR="00A03C00">
        <w:t>. A four-star hotel</w:t>
      </w:r>
      <w:r w:rsidR="00FF250C">
        <w:t xml:space="preserve"> (or somewhere else depending on availability)</w:t>
      </w:r>
      <w:r w:rsidR="0028111B">
        <w:t>.</w:t>
      </w:r>
    </w:p>
    <w:p w14:paraId="165C1C3B" w14:textId="35F229C3" w:rsidR="00993D87" w:rsidRDefault="00993D87" w:rsidP="004F0A81">
      <w:pPr>
        <w:jc w:val="center"/>
      </w:pPr>
      <w:r>
        <w:t xml:space="preserve">Depends on the cost </w:t>
      </w:r>
      <w:r w:rsidR="00A03C00">
        <w:t>you</w:t>
      </w:r>
      <w:r>
        <w:t xml:space="preserve"> are prepared to </w:t>
      </w:r>
      <w:r w:rsidR="00A03C00">
        <w:t>pay</w:t>
      </w:r>
    </w:p>
    <w:p w14:paraId="7E5DE7A4" w14:textId="77777777" w:rsidR="004F0A81" w:rsidRDefault="004F0A81" w:rsidP="00186A68"/>
    <w:p w14:paraId="738C8C6A" w14:textId="77777777" w:rsidR="004F0A81" w:rsidRPr="003F4579" w:rsidRDefault="00F34435" w:rsidP="004F0A81">
      <w:pPr>
        <w:jc w:val="center"/>
        <w:rPr>
          <w:b/>
          <w:sz w:val="24"/>
        </w:rPr>
      </w:pPr>
      <w:r w:rsidRPr="003F4579">
        <w:rPr>
          <w:b/>
          <w:sz w:val="24"/>
        </w:rPr>
        <w:t>What?</w:t>
      </w:r>
    </w:p>
    <w:p w14:paraId="1C6ED122" w14:textId="5A90C017" w:rsidR="008C6582" w:rsidRDefault="008C6582" w:rsidP="00F34435">
      <w:pPr>
        <w:jc w:val="center"/>
      </w:pPr>
      <w:r>
        <w:t>The idea is that in the morning the suppliers spend the time together and the law firms the same.  David Gilroy will chair the law firm room and we’ll get a lawyer to do the same for the suppliers.</w:t>
      </w:r>
    </w:p>
    <w:p w14:paraId="7E26122F" w14:textId="1594A17E" w:rsidR="008C6582" w:rsidRDefault="008C6582" w:rsidP="00F34435">
      <w:pPr>
        <w:jc w:val="center"/>
      </w:pPr>
    </w:p>
    <w:p w14:paraId="0204218A" w14:textId="4CB1C3EA" w:rsidR="008C6582" w:rsidRDefault="008C6582" w:rsidP="00F34435">
      <w:pPr>
        <w:jc w:val="center"/>
      </w:pPr>
      <w:r>
        <w:t xml:space="preserve">Then we have two options </w:t>
      </w:r>
    </w:p>
    <w:p w14:paraId="29AF50B0" w14:textId="77777777" w:rsidR="008C6582" w:rsidRDefault="008C6582" w:rsidP="00F34435">
      <w:pPr>
        <w:jc w:val="center"/>
      </w:pPr>
    </w:p>
    <w:p w14:paraId="71F3B8DD" w14:textId="244F56DD" w:rsidR="004F0A81" w:rsidRDefault="008C6582" w:rsidP="00F34435">
      <w:pPr>
        <w:jc w:val="center"/>
      </w:pPr>
      <w:r w:rsidRPr="007F7207">
        <w:rPr>
          <w:b/>
        </w:rPr>
        <w:t>Option 1 :</w:t>
      </w:r>
      <w:r>
        <w:t xml:space="preserve"> Follow the same format as LSAS.  </w:t>
      </w:r>
      <w:r w:rsidR="00F34435">
        <w:t xml:space="preserve">Once you have booked </w:t>
      </w:r>
      <w:r>
        <w:t xml:space="preserve">your slot and confirmed your guests, </w:t>
      </w:r>
      <w:r w:rsidR="00600AC7">
        <w:t xml:space="preserve">each supplier/law firm </w:t>
      </w:r>
      <w:r>
        <w:t xml:space="preserve">will </w:t>
      </w:r>
      <w:r w:rsidR="00F34435">
        <w:t>be invited to submit a talk</w:t>
      </w:r>
      <w:r>
        <w:t xml:space="preserve"> that you would like to deliver to your respective audience.</w:t>
      </w:r>
      <w:r w:rsidR="00F34435">
        <w:t xml:space="preserve">  Once all the talks have been submitted everyone who </w:t>
      </w:r>
      <w:r w:rsidR="00600AC7">
        <w:t>is coming</w:t>
      </w:r>
      <w:r w:rsidR="00F34435">
        <w:t xml:space="preserve"> will be invited to vote on which speakers they would like to hear from.</w:t>
      </w:r>
    </w:p>
    <w:p w14:paraId="451B8496" w14:textId="4BBA47F5" w:rsidR="008C6582" w:rsidRDefault="008C6582" w:rsidP="00F34435">
      <w:pPr>
        <w:jc w:val="center"/>
      </w:pPr>
    </w:p>
    <w:p w14:paraId="44675733" w14:textId="41FA7F71" w:rsidR="008C6582" w:rsidRDefault="008C6582" w:rsidP="00CF0099">
      <w:pPr>
        <w:jc w:val="center"/>
      </w:pPr>
      <w:r w:rsidRPr="007F7207">
        <w:rPr>
          <w:b/>
        </w:rPr>
        <w:t>Option 2 :</w:t>
      </w:r>
      <w:r>
        <w:t xml:space="preserve"> Is a facilitated discussion with an overarching theme for each </w:t>
      </w:r>
      <w:r w:rsidR="00CF0099">
        <w:t>room.  A slight logistical challenge is that with 40-50 people in the law firm room the “boardroom” format may not work so well.</w:t>
      </w:r>
    </w:p>
    <w:p w14:paraId="41F7DDE1" w14:textId="5D07D3AF" w:rsidR="00CF0099" w:rsidRDefault="00CF0099" w:rsidP="00CF0099">
      <w:pPr>
        <w:jc w:val="center"/>
      </w:pPr>
    </w:p>
    <w:p w14:paraId="1050BD57" w14:textId="08582999" w:rsidR="00CF0099" w:rsidRDefault="00CF0099" w:rsidP="00CF0099">
      <w:pPr>
        <w:jc w:val="center"/>
      </w:pPr>
      <w:r>
        <w:t xml:space="preserve">After lunch there is a plenary session with each group feeding back to each other.  Then we finish the afternoon with a couple of </w:t>
      </w:r>
      <w:r w:rsidR="00600AC7">
        <w:t>top-notch</w:t>
      </w:r>
      <w:r>
        <w:t xml:space="preserve"> professional speakers.</w:t>
      </w:r>
    </w:p>
    <w:p w14:paraId="343730DF" w14:textId="445AA0EB" w:rsidR="007C5B2B" w:rsidRDefault="007C5B2B" w:rsidP="00CF0099">
      <w:pPr>
        <w:jc w:val="center"/>
      </w:pPr>
    </w:p>
    <w:p w14:paraId="63DC4344" w14:textId="777A5E40" w:rsidR="007C5B2B" w:rsidRDefault="007C5B2B" w:rsidP="00CF0099">
      <w:pPr>
        <w:jc w:val="center"/>
      </w:pPr>
      <w:r>
        <w:t>The speakers suggested below are just that. Suggestions based on recommendations to me by business contacts who regularly book professional speakers for events.</w:t>
      </w:r>
    </w:p>
    <w:p w14:paraId="2C7EC59F" w14:textId="16702EB8" w:rsidR="00E93100" w:rsidRDefault="00E93100" w:rsidP="00CF0099">
      <w:pPr>
        <w:jc w:val="center"/>
      </w:pPr>
    </w:p>
    <w:p w14:paraId="68BD0708" w14:textId="36C3B4F8" w:rsidR="00E93100" w:rsidRDefault="00E93100" w:rsidP="00CF0099">
      <w:pPr>
        <w:jc w:val="center"/>
      </w:pPr>
    </w:p>
    <w:p w14:paraId="0D0259A0" w14:textId="2E350633" w:rsidR="00E93100" w:rsidRDefault="00E93100" w:rsidP="00CF0099">
      <w:pPr>
        <w:jc w:val="center"/>
      </w:pPr>
    </w:p>
    <w:p w14:paraId="433B9969" w14:textId="6079248A" w:rsidR="00E93100" w:rsidRDefault="00E93100" w:rsidP="00CF0099">
      <w:pPr>
        <w:jc w:val="center"/>
      </w:pPr>
    </w:p>
    <w:p w14:paraId="227BA258" w14:textId="7C0FC622" w:rsidR="00E93100" w:rsidRDefault="00E93100" w:rsidP="00CF0099">
      <w:pPr>
        <w:jc w:val="center"/>
      </w:pPr>
    </w:p>
    <w:p w14:paraId="04310117" w14:textId="670370D9" w:rsidR="00E93100" w:rsidRDefault="00E93100" w:rsidP="00CF0099">
      <w:pPr>
        <w:jc w:val="center"/>
      </w:pPr>
    </w:p>
    <w:p w14:paraId="0A0D1618" w14:textId="3315415B" w:rsidR="00E93100" w:rsidRDefault="00E93100" w:rsidP="00CF0099">
      <w:pPr>
        <w:jc w:val="center"/>
      </w:pPr>
    </w:p>
    <w:p w14:paraId="51790118" w14:textId="2A2BE909" w:rsidR="00E93100" w:rsidRDefault="00E93100" w:rsidP="00CF0099">
      <w:pPr>
        <w:jc w:val="center"/>
      </w:pPr>
    </w:p>
    <w:p w14:paraId="7197C6A6" w14:textId="66ACB9FA" w:rsidR="00E93100" w:rsidRDefault="00E93100" w:rsidP="00CF0099">
      <w:pPr>
        <w:jc w:val="center"/>
      </w:pPr>
    </w:p>
    <w:p w14:paraId="0B67866A" w14:textId="1D9C34C7" w:rsidR="00E93100" w:rsidRDefault="00E93100" w:rsidP="00CF0099">
      <w:pPr>
        <w:jc w:val="center"/>
      </w:pPr>
    </w:p>
    <w:p w14:paraId="0CA1667A" w14:textId="73D98CA7" w:rsidR="00E93100" w:rsidRPr="00E93100" w:rsidRDefault="00E93100" w:rsidP="00CF0099">
      <w:pPr>
        <w:jc w:val="center"/>
        <w:rPr>
          <w:b/>
          <w:sz w:val="24"/>
        </w:rPr>
      </w:pPr>
      <w:r w:rsidRPr="00E93100">
        <w:rPr>
          <w:b/>
          <w:sz w:val="24"/>
        </w:rPr>
        <w:lastRenderedPageBreak/>
        <w:t>Suggested Agenda – Option 2</w:t>
      </w:r>
    </w:p>
    <w:p w14:paraId="2E07E7F4" w14:textId="77777777" w:rsidR="00F34435" w:rsidRDefault="00F34435" w:rsidP="00186A68"/>
    <w:tbl>
      <w:tblPr>
        <w:tblW w:w="4874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920"/>
        <w:gridCol w:w="3954"/>
      </w:tblGrid>
      <w:tr w:rsidR="00F31325" w:rsidRPr="004F0A81" w14:paraId="2C89FEC1" w14:textId="77777777" w:rsidTr="00F31325">
        <w:trPr>
          <w:trHeight w:val="26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00"/>
            <w:noWrap/>
            <w:hideMark/>
          </w:tcPr>
          <w:p w14:paraId="005A4440" w14:textId="77777777" w:rsidR="00F31325" w:rsidRPr="004F0A81" w:rsidRDefault="00F31325" w:rsidP="004F0A81">
            <w:pPr>
              <w:rPr>
                <w:rFonts w:eastAsia="Times New Roman" w:cs="Times New Roman"/>
                <w:b/>
                <w:bCs/>
                <w:color w:val="FFFFFF"/>
                <w:szCs w:val="20"/>
                <w:lang w:eastAsia="en-US"/>
              </w:rPr>
            </w:pPr>
            <w:r w:rsidRPr="004F0A81">
              <w:rPr>
                <w:rFonts w:eastAsia="Times New Roman" w:cs="Times New Roman"/>
                <w:b/>
                <w:bCs/>
                <w:color w:val="FFFFFF"/>
                <w:szCs w:val="20"/>
                <w:lang w:eastAsia="en-US"/>
              </w:rPr>
              <w:t>Time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00"/>
            <w:hideMark/>
          </w:tcPr>
          <w:p w14:paraId="21F8FF1A" w14:textId="77777777" w:rsidR="00F31325" w:rsidRPr="004F0A81" w:rsidRDefault="00F31325" w:rsidP="004F0A81">
            <w:pPr>
              <w:rPr>
                <w:rFonts w:eastAsia="Times New Roman" w:cs="Times New Roman"/>
                <w:b/>
                <w:bCs/>
                <w:color w:val="FFFFFF"/>
                <w:szCs w:val="20"/>
                <w:lang w:eastAsia="en-US"/>
              </w:rPr>
            </w:pPr>
            <w:r w:rsidRPr="004F0A81">
              <w:rPr>
                <w:rFonts w:eastAsia="Times New Roman" w:cs="Times New Roman"/>
                <w:b/>
                <w:bCs/>
                <w:color w:val="FFFFFF"/>
                <w:szCs w:val="20"/>
                <w:lang w:eastAsia="en-US"/>
              </w:rPr>
              <w:t>Session</w:t>
            </w:r>
          </w:p>
        </w:tc>
      </w:tr>
      <w:tr w:rsidR="00F31325" w:rsidRPr="004F0A81" w14:paraId="3AC65008" w14:textId="77777777" w:rsidTr="00F31325">
        <w:trPr>
          <w:trHeight w:val="2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hideMark/>
          </w:tcPr>
          <w:p w14:paraId="44FEFD6B" w14:textId="525173C6" w:rsidR="00F31325" w:rsidRPr="004F0A81" w:rsidRDefault="00F31325" w:rsidP="004F0A81">
            <w:pPr>
              <w:rPr>
                <w:rFonts w:eastAsia="Times New Roman" w:cs="Times New Roman"/>
                <w:color w:val="000000"/>
                <w:szCs w:val="20"/>
                <w:lang w:eastAsia="en-US"/>
              </w:rPr>
            </w:pPr>
            <w:r w:rsidRPr="004F0A81">
              <w:rPr>
                <w:rFonts w:eastAsia="Times New Roman" w:cs="Times New Roman"/>
                <w:color w:val="000000"/>
                <w:szCs w:val="20"/>
                <w:lang w:eastAsia="en-US"/>
              </w:rPr>
              <w:t>09:</w:t>
            </w:r>
            <w:r>
              <w:rPr>
                <w:rFonts w:eastAsia="Times New Roman" w:cs="Times New Roman"/>
                <w:color w:val="000000"/>
                <w:szCs w:val="20"/>
                <w:lang w:eastAsia="en-US"/>
              </w:rPr>
              <w:t>30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054CBA68" w14:textId="77777777" w:rsidR="00F31325" w:rsidRPr="004F0A81" w:rsidRDefault="00F31325" w:rsidP="004F0A81">
            <w:pPr>
              <w:rPr>
                <w:rFonts w:eastAsia="Times New Roman" w:cs="Times New Roman"/>
                <w:color w:val="000000"/>
                <w:szCs w:val="20"/>
                <w:lang w:eastAsia="en-US"/>
              </w:rPr>
            </w:pPr>
            <w:r w:rsidRPr="004F0A81">
              <w:rPr>
                <w:rFonts w:eastAsia="Times New Roman" w:cs="Times New Roman"/>
                <w:color w:val="000000"/>
                <w:szCs w:val="20"/>
                <w:lang w:eastAsia="en-US"/>
              </w:rPr>
              <w:t>Registration</w:t>
            </w:r>
          </w:p>
        </w:tc>
      </w:tr>
      <w:tr w:rsidR="00F31325" w:rsidRPr="004F0A81" w14:paraId="6A4409BE" w14:textId="77777777" w:rsidTr="00F31325">
        <w:trPr>
          <w:trHeight w:val="2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90777" w14:textId="3BB5851D" w:rsidR="00F31325" w:rsidRPr="004F0A81" w:rsidRDefault="00F31325" w:rsidP="004F0A81">
            <w:pPr>
              <w:rPr>
                <w:rFonts w:eastAsia="Times New Roman" w:cs="Times New Roman"/>
                <w:color w:val="000000"/>
                <w:szCs w:val="20"/>
                <w:lang w:eastAsia="en-US"/>
              </w:rPr>
            </w:pPr>
            <w:r w:rsidRPr="004F0A81">
              <w:rPr>
                <w:rFonts w:eastAsia="Times New Roman" w:cs="Times New Roman"/>
                <w:color w:val="000000"/>
                <w:szCs w:val="20"/>
                <w:lang w:eastAsia="en-US"/>
              </w:rPr>
              <w:t>09:</w:t>
            </w:r>
            <w:r>
              <w:rPr>
                <w:rFonts w:eastAsia="Times New Roman" w:cs="Times New Roman"/>
                <w:color w:val="000000"/>
                <w:szCs w:val="20"/>
                <w:lang w:eastAsia="en-US"/>
              </w:rPr>
              <w:t>45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041CA" w14:textId="69EF0876" w:rsidR="00F31325" w:rsidRPr="004F0A81" w:rsidRDefault="00F31325" w:rsidP="004F0A81">
            <w:pPr>
              <w:rPr>
                <w:rFonts w:eastAsia="Times New Roman" w:cs="Times New Roman"/>
                <w:color w:val="000000"/>
                <w:szCs w:val="20"/>
                <w:lang w:eastAsia="en-US"/>
              </w:rPr>
            </w:pPr>
            <w:r w:rsidRPr="004F0A81">
              <w:rPr>
                <w:rFonts w:eastAsia="Times New Roman" w:cs="Times New Roman"/>
                <w:color w:val="000000"/>
                <w:szCs w:val="20"/>
                <w:lang w:eastAsia="en-US"/>
              </w:rPr>
              <w:t>Intro</w:t>
            </w:r>
            <w:r>
              <w:rPr>
                <w:rFonts w:eastAsia="Times New Roman" w:cs="Times New Roman"/>
                <w:color w:val="000000"/>
                <w:szCs w:val="20"/>
                <w:lang w:eastAsia="en-US"/>
              </w:rPr>
              <w:t>duction</w:t>
            </w:r>
          </w:p>
        </w:tc>
      </w:tr>
      <w:tr w:rsidR="00F31325" w:rsidRPr="004F0A81" w14:paraId="335AA3EA" w14:textId="77777777" w:rsidTr="00F31325">
        <w:trPr>
          <w:trHeight w:val="25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6B2D6" w14:textId="0842815F" w:rsidR="00F31325" w:rsidRPr="004F0A81" w:rsidRDefault="00F31325" w:rsidP="004F0A81">
            <w:pPr>
              <w:rPr>
                <w:rFonts w:eastAsia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en-US"/>
              </w:rPr>
              <w:t>10:15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79C67" w14:textId="140B62A4" w:rsidR="00F31325" w:rsidRPr="004F0A81" w:rsidRDefault="00F31325" w:rsidP="004F0A81">
            <w:pPr>
              <w:rPr>
                <w:rFonts w:eastAsia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en-US"/>
              </w:rPr>
              <w:t xml:space="preserve">Law Firm / Supplier </w:t>
            </w:r>
            <w:r w:rsidR="00600AC7">
              <w:rPr>
                <w:rFonts w:eastAsia="Times New Roman" w:cs="Times New Roman"/>
                <w:color w:val="000000"/>
                <w:szCs w:val="20"/>
                <w:lang w:eastAsia="en-US"/>
              </w:rPr>
              <w:t>Round Table</w:t>
            </w:r>
            <w:r>
              <w:rPr>
                <w:rFonts w:eastAsia="Times New Roman" w:cs="Times New Roman"/>
                <w:color w:val="000000"/>
                <w:szCs w:val="20"/>
                <w:lang w:eastAsia="en-US"/>
              </w:rPr>
              <w:t xml:space="preserve"> – Part 1</w:t>
            </w:r>
          </w:p>
        </w:tc>
      </w:tr>
      <w:tr w:rsidR="00F31325" w:rsidRPr="004F0A81" w14:paraId="4E13A931" w14:textId="77777777" w:rsidTr="00F31325">
        <w:trPr>
          <w:trHeight w:val="2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hideMark/>
          </w:tcPr>
          <w:p w14:paraId="374F1D77" w14:textId="028A32F3" w:rsidR="00F31325" w:rsidRPr="004F0A81" w:rsidRDefault="00F31325" w:rsidP="004F0A81">
            <w:pPr>
              <w:rPr>
                <w:rFonts w:eastAsia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en-US"/>
              </w:rPr>
              <w:t>11:30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712A2B11" w14:textId="77777777" w:rsidR="00F31325" w:rsidRPr="004F0A81" w:rsidRDefault="00F31325" w:rsidP="004F0A81">
            <w:pPr>
              <w:rPr>
                <w:rFonts w:eastAsia="Times New Roman" w:cs="Times New Roman"/>
                <w:color w:val="000000"/>
                <w:szCs w:val="20"/>
                <w:lang w:eastAsia="en-US"/>
              </w:rPr>
            </w:pPr>
            <w:r w:rsidRPr="004F0A81">
              <w:rPr>
                <w:rFonts w:eastAsia="Times New Roman" w:cs="Times New Roman"/>
                <w:color w:val="000000"/>
                <w:szCs w:val="20"/>
                <w:lang w:eastAsia="en-US"/>
              </w:rPr>
              <w:t>Break</w:t>
            </w:r>
          </w:p>
        </w:tc>
      </w:tr>
      <w:tr w:rsidR="00F31325" w:rsidRPr="004F0A81" w14:paraId="01A5C4B2" w14:textId="77777777" w:rsidTr="00F31325">
        <w:trPr>
          <w:trHeight w:val="2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E93A4" w14:textId="0D98930E" w:rsidR="00F31325" w:rsidRPr="004F0A81" w:rsidRDefault="00F31325" w:rsidP="004F0A81">
            <w:pPr>
              <w:rPr>
                <w:rFonts w:eastAsia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en-US"/>
              </w:rPr>
              <w:t>12:00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2E86C" w14:textId="5CF652A9" w:rsidR="00F31325" w:rsidRPr="004F0A81" w:rsidRDefault="00F31325" w:rsidP="004F0A81">
            <w:pPr>
              <w:rPr>
                <w:rFonts w:eastAsia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en-US"/>
              </w:rPr>
              <w:t xml:space="preserve">Law Firm / Supplier </w:t>
            </w:r>
            <w:r w:rsidR="00600AC7">
              <w:rPr>
                <w:rFonts w:eastAsia="Times New Roman" w:cs="Times New Roman"/>
                <w:color w:val="000000"/>
                <w:szCs w:val="20"/>
                <w:lang w:eastAsia="en-US"/>
              </w:rPr>
              <w:t>Round Table</w:t>
            </w:r>
            <w:r>
              <w:rPr>
                <w:rFonts w:eastAsia="Times New Roman" w:cs="Times New Roman"/>
                <w:color w:val="000000"/>
                <w:szCs w:val="20"/>
                <w:lang w:eastAsia="en-US"/>
              </w:rPr>
              <w:t xml:space="preserve"> – Part 2</w:t>
            </w:r>
          </w:p>
        </w:tc>
      </w:tr>
      <w:tr w:rsidR="00F31325" w:rsidRPr="004F0A81" w14:paraId="0BF917C9" w14:textId="77777777" w:rsidTr="00F31325">
        <w:trPr>
          <w:trHeight w:val="2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hideMark/>
          </w:tcPr>
          <w:p w14:paraId="18650688" w14:textId="37EE50E3" w:rsidR="00F31325" w:rsidRPr="004F0A81" w:rsidRDefault="00F31325" w:rsidP="004F0A81">
            <w:pPr>
              <w:rPr>
                <w:rFonts w:eastAsia="Times New Roman" w:cs="Times New Roman"/>
                <w:color w:val="000000"/>
                <w:szCs w:val="20"/>
                <w:lang w:eastAsia="en-US"/>
              </w:rPr>
            </w:pPr>
            <w:r w:rsidRPr="004F0A81">
              <w:rPr>
                <w:rFonts w:eastAsia="Times New Roman" w:cs="Times New Roman"/>
                <w:color w:val="000000"/>
                <w:szCs w:val="20"/>
                <w:lang w:eastAsia="en-US"/>
              </w:rPr>
              <w:t>1</w:t>
            </w:r>
            <w:r>
              <w:rPr>
                <w:rFonts w:eastAsia="Times New Roman" w:cs="Times New Roman"/>
                <w:color w:val="000000"/>
                <w:szCs w:val="20"/>
                <w:lang w:eastAsia="en-US"/>
              </w:rPr>
              <w:t>3:</w:t>
            </w:r>
            <w:r w:rsidR="007C5B2B">
              <w:rPr>
                <w:rFonts w:eastAsia="Times New Roman" w:cs="Times New Roman"/>
                <w:color w:val="000000"/>
                <w:szCs w:val="20"/>
                <w:lang w:eastAsia="en-US"/>
              </w:rPr>
              <w:t>00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76B8408E" w14:textId="77777777" w:rsidR="00F31325" w:rsidRPr="004F0A81" w:rsidRDefault="00F31325" w:rsidP="004F0A81">
            <w:pPr>
              <w:rPr>
                <w:rFonts w:eastAsia="Times New Roman" w:cs="Times New Roman"/>
                <w:color w:val="000000"/>
                <w:szCs w:val="20"/>
                <w:lang w:eastAsia="en-US"/>
              </w:rPr>
            </w:pPr>
            <w:r w:rsidRPr="004F0A81">
              <w:rPr>
                <w:rFonts w:eastAsia="Times New Roman" w:cs="Times New Roman"/>
                <w:color w:val="000000"/>
                <w:szCs w:val="20"/>
                <w:lang w:eastAsia="en-US"/>
              </w:rPr>
              <w:t>Lunch</w:t>
            </w:r>
          </w:p>
        </w:tc>
      </w:tr>
      <w:tr w:rsidR="00F31325" w:rsidRPr="004F0A81" w14:paraId="70B3A2C4" w14:textId="77777777" w:rsidTr="00F31325">
        <w:trPr>
          <w:trHeight w:val="2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24399" w14:textId="4D8AA9C7" w:rsidR="00F31325" w:rsidRPr="004F0A81" w:rsidRDefault="00F31325" w:rsidP="004F0A81">
            <w:pPr>
              <w:rPr>
                <w:rFonts w:eastAsia="Times New Roman" w:cs="Times New Roman"/>
                <w:color w:val="000000"/>
                <w:szCs w:val="20"/>
                <w:lang w:eastAsia="en-US"/>
              </w:rPr>
            </w:pPr>
            <w:r w:rsidRPr="004F0A81">
              <w:rPr>
                <w:rFonts w:eastAsia="Times New Roman" w:cs="Times New Roman"/>
                <w:color w:val="000000"/>
                <w:szCs w:val="20"/>
                <w:lang w:eastAsia="en-US"/>
              </w:rPr>
              <w:t>14:</w:t>
            </w:r>
            <w:r w:rsidR="007C5B2B">
              <w:rPr>
                <w:rFonts w:eastAsia="Times New Roman" w:cs="Times New Roman"/>
                <w:color w:val="000000"/>
                <w:szCs w:val="20"/>
                <w:lang w:eastAsia="en-US"/>
              </w:rPr>
              <w:t>00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82CA8" w14:textId="0F0DF8EA" w:rsidR="00F31325" w:rsidRPr="004F0A81" w:rsidRDefault="00F31325" w:rsidP="004F0A81">
            <w:pPr>
              <w:rPr>
                <w:rFonts w:eastAsia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en-US"/>
              </w:rPr>
              <w:t>Plenary session with each group feeding back to the other</w:t>
            </w:r>
          </w:p>
        </w:tc>
      </w:tr>
      <w:tr w:rsidR="007C5B2B" w:rsidRPr="004F0A81" w14:paraId="47C5B732" w14:textId="77777777" w:rsidTr="00C8756D">
        <w:trPr>
          <w:trHeight w:val="2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199AF" w14:textId="2801F8FF" w:rsidR="007C5B2B" w:rsidRPr="004F0A81" w:rsidRDefault="007C5B2B" w:rsidP="00C8756D">
            <w:pPr>
              <w:rPr>
                <w:rFonts w:eastAsia="Times New Roman" w:cs="Times New Roman"/>
                <w:color w:val="000000"/>
                <w:szCs w:val="20"/>
                <w:lang w:eastAsia="en-US"/>
              </w:rPr>
            </w:pPr>
            <w:r w:rsidRPr="004F0A81">
              <w:rPr>
                <w:rFonts w:eastAsia="Times New Roman" w:cs="Times New Roman"/>
                <w:color w:val="000000"/>
                <w:szCs w:val="20"/>
                <w:lang w:eastAsia="en-US"/>
              </w:rPr>
              <w:t>1</w:t>
            </w:r>
            <w:r w:rsidR="0028111B">
              <w:rPr>
                <w:rFonts w:eastAsia="Times New Roman" w:cs="Times New Roman"/>
                <w:color w:val="000000"/>
                <w:szCs w:val="20"/>
                <w:lang w:eastAsia="en-US"/>
              </w:rPr>
              <w:t>5:00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AADE7" w14:textId="26D154D4" w:rsidR="007C5B2B" w:rsidRDefault="00600AC7" w:rsidP="00C8756D">
            <w:pPr>
              <w:rPr>
                <w:rFonts w:eastAsia="Times New Roman" w:cs="Times New Roman"/>
                <w:color w:val="000000"/>
                <w:szCs w:val="20"/>
                <w:lang w:eastAsia="en-US"/>
              </w:rPr>
            </w:pPr>
            <w:hyperlink r:id="rId5" w:history="1">
              <w:r w:rsidR="007C5B2B" w:rsidRPr="004F266F">
                <w:rPr>
                  <w:rStyle w:val="Hyperlink"/>
                  <w:rFonts w:eastAsia="Times New Roman" w:cs="Times New Roman"/>
                  <w:szCs w:val="20"/>
                  <w:lang w:eastAsia="en-US"/>
                </w:rPr>
                <w:t>Malcolm Smith</w:t>
              </w:r>
            </w:hyperlink>
            <w:r w:rsidR="007C5B2B">
              <w:rPr>
                <w:rFonts w:eastAsia="Times New Roman" w:cs="Times New Roman"/>
                <w:color w:val="000000"/>
                <w:szCs w:val="20"/>
                <w:lang w:eastAsia="en-US"/>
              </w:rPr>
              <w:t xml:space="preserve"> – Negotiation</w:t>
            </w:r>
          </w:p>
          <w:p w14:paraId="51A1D06D" w14:textId="163FE6CC" w:rsidR="007C5B2B" w:rsidRPr="004F0A81" w:rsidRDefault="007C5B2B" w:rsidP="00C8756D">
            <w:pPr>
              <w:rPr>
                <w:rFonts w:eastAsia="Times New Roman" w:cs="Times New Roman"/>
                <w:color w:val="000000"/>
                <w:szCs w:val="20"/>
                <w:lang w:eastAsia="en-US"/>
              </w:rPr>
            </w:pPr>
            <w:r w:rsidRPr="007C5B2B">
              <w:rPr>
                <w:rFonts w:eastAsia="Times New Roman" w:cs="Times New Roman"/>
                <w:color w:val="000000"/>
                <w:szCs w:val="20"/>
                <w:lang w:eastAsia="en-US"/>
              </w:rPr>
              <w:t>In this practical and interactive workshop</w:t>
            </w:r>
            <w:r w:rsidR="0028111B">
              <w:rPr>
                <w:rFonts w:eastAsia="Times New Roman" w:cs="Times New Roman"/>
                <w:color w:val="000000"/>
                <w:szCs w:val="20"/>
                <w:lang w:eastAsia="en-US"/>
              </w:rPr>
              <w:t>,</w:t>
            </w:r>
            <w:r w:rsidRPr="007C5B2B">
              <w:rPr>
                <w:rFonts w:eastAsia="Times New Roman" w:cs="Times New Roman"/>
                <w:color w:val="000000"/>
                <w:szCs w:val="20"/>
                <w:lang w:eastAsia="en-US"/>
              </w:rPr>
              <w:t xml:space="preserve"> participants will look at negotiation as a conversation, the six questions to ask in preparing and the four opening rules - as well as other areas.</w:t>
            </w:r>
          </w:p>
        </w:tc>
      </w:tr>
      <w:tr w:rsidR="00F31325" w:rsidRPr="004F0A81" w14:paraId="6AC5A7DF" w14:textId="77777777" w:rsidTr="00F31325">
        <w:trPr>
          <w:trHeight w:val="2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hideMark/>
          </w:tcPr>
          <w:p w14:paraId="49D25DDD" w14:textId="60815466" w:rsidR="00F31325" w:rsidRPr="004F0A81" w:rsidRDefault="00F31325" w:rsidP="004F0A81">
            <w:pPr>
              <w:rPr>
                <w:rFonts w:eastAsia="Times New Roman" w:cs="Times New Roman"/>
                <w:color w:val="000000"/>
                <w:szCs w:val="20"/>
                <w:lang w:eastAsia="en-US"/>
              </w:rPr>
            </w:pPr>
            <w:r w:rsidRPr="004F0A81">
              <w:rPr>
                <w:rFonts w:eastAsia="Times New Roman" w:cs="Times New Roman"/>
                <w:color w:val="000000"/>
                <w:szCs w:val="20"/>
                <w:lang w:eastAsia="en-US"/>
              </w:rPr>
              <w:t>1</w:t>
            </w:r>
            <w:r w:rsidR="007C5B2B">
              <w:rPr>
                <w:rFonts w:eastAsia="Times New Roman" w:cs="Times New Roman"/>
                <w:color w:val="000000"/>
                <w:szCs w:val="20"/>
                <w:lang w:eastAsia="en-US"/>
              </w:rPr>
              <w:t>6:</w:t>
            </w:r>
            <w:r w:rsidR="0028111B">
              <w:rPr>
                <w:rFonts w:eastAsia="Times New Roman" w:cs="Times New Roman"/>
                <w:color w:val="000000"/>
                <w:szCs w:val="20"/>
                <w:lang w:eastAsia="en-US"/>
              </w:rPr>
              <w:t>00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2667C21A" w14:textId="77777777" w:rsidR="00F31325" w:rsidRPr="004F0A81" w:rsidRDefault="00F31325" w:rsidP="004F0A81">
            <w:pPr>
              <w:rPr>
                <w:rFonts w:eastAsia="Times New Roman" w:cs="Times New Roman"/>
                <w:color w:val="000000"/>
                <w:szCs w:val="20"/>
                <w:lang w:eastAsia="en-US"/>
              </w:rPr>
            </w:pPr>
            <w:r w:rsidRPr="004F0A81">
              <w:rPr>
                <w:rFonts w:eastAsia="Times New Roman" w:cs="Times New Roman"/>
                <w:color w:val="000000"/>
                <w:szCs w:val="20"/>
                <w:lang w:eastAsia="en-US"/>
              </w:rPr>
              <w:t>Break</w:t>
            </w:r>
          </w:p>
        </w:tc>
      </w:tr>
      <w:tr w:rsidR="00F31325" w:rsidRPr="004F0A81" w14:paraId="68D90911" w14:textId="77777777" w:rsidTr="00F31325">
        <w:trPr>
          <w:trHeight w:val="2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74406" w14:textId="5FA5E55A" w:rsidR="00F31325" w:rsidRPr="004F0A81" w:rsidRDefault="00F31325" w:rsidP="004F0A81">
            <w:pPr>
              <w:rPr>
                <w:rFonts w:eastAsia="Times New Roman" w:cs="Times New Roman"/>
                <w:color w:val="000000"/>
                <w:szCs w:val="20"/>
                <w:lang w:eastAsia="en-US"/>
              </w:rPr>
            </w:pPr>
            <w:r w:rsidRPr="004F0A81">
              <w:rPr>
                <w:rFonts w:eastAsia="Times New Roman" w:cs="Times New Roman"/>
                <w:color w:val="000000"/>
                <w:szCs w:val="20"/>
                <w:lang w:eastAsia="en-US"/>
              </w:rPr>
              <w:t>16:</w:t>
            </w:r>
            <w:r>
              <w:rPr>
                <w:rFonts w:eastAsia="Times New Roman" w:cs="Times New Roman"/>
                <w:color w:val="000000"/>
                <w:szCs w:val="20"/>
                <w:lang w:eastAsia="en-US"/>
              </w:rPr>
              <w:t>30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11E60" w14:textId="5DCF693B" w:rsidR="00F31325" w:rsidRDefault="00600AC7" w:rsidP="004F0A81">
            <w:pPr>
              <w:rPr>
                <w:rFonts w:eastAsia="Times New Roman" w:cs="Times New Roman"/>
                <w:color w:val="000000"/>
                <w:szCs w:val="20"/>
                <w:lang w:eastAsia="en-US"/>
              </w:rPr>
            </w:pPr>
            <w:hyperlink r:id="rId6" w:history="1">
              <w:r w:rsidR="007C5B2B" w:rsidRPr="004F266F">
                <w:rPr>
                  <w:rStyle w:val="Hyperlink"/>
                  <w:rFonts w:eastAsia="Times New Roman" w:cs="Times New Roman"/>
                  <w:szCs w:val="20"/>
                  <w:lang w:eastAsia="en-US"/>
                </w:rPr>
                <w:t>Mark Robb</w:t>
              </w:r>
            </w:hyperlink>
            <w:r w:rsidR="007C5B2B">
              <w:rPr>
                <w:rFonts w:eastAsia="Times New Roman" w:cs="Times New Roman"/>
                <w:color w:val="000000"/>
                <w:szCs w:val="20"/>
                <w:lang w:eastAsia="en-US"/>
              </w:rPr>
              <w:t xml:space="preserve"> – Employee Engagement</w:t>
            </w:r>
          </w:p>
          <w:p w14:paraId="33E95E97" w14:textId="39A66CBC" w:rsidR="007C5B2B" w:rsidRPr="004F0A81" w:rsidRDefault="007C5B2B" w:rsidP="004F0A81">
            <w:pPr>
              <w:rPr>
                <w:rFonts w:eastAsia="Times New Roman" w:cs="Times New Roman"/>
                <w:color w:val="000000"/>
                <w:szCs w:val="20"/>
                <w:lang w:eastAsia="en-US"/>
              </w:rPr>
            </w:pPr>
            <w:r w:rsidRPr="007C5B2B">
              <w:rPr>
                <w:rFonts w:eastAsia="Times New Roman" w:cs="Times New Roman"/>
                <w:color w:val="000000"/>
                <w:szCs w:val="20"/>
                <w:lang w:eastAsia="en-US"/>
              </w:rPr>
              <w:t>Employee Engagement Essentials will cover how to create the conditions for success including: what does the research say, 7 Essentials</w:t>
            </w:r>
            <w:r w:rsidR="0028111B">
              <w:rPr>
                <w:rFonts w:eastAsia="Times New Roman" w:cs="Times New Roman"/>
                <w:color w:val="000000"/>
                <w:szCs w:val="20"/>
                <w:lang w:eastAsia="en-US"/>
              </w:rPr>
              <w:t xml:space="preserve">, </w:t>
            </w:r>
            <w:r w:rsidRPr="007C5B2B">
              <w:rPr>
                <w:rFonts w:eastAsia="Times New Roman" w:cs="Times New Roman"/>
                <w:color w:val="000000"/>
                <w:szCs w:val="20"/>
                <w:lang w:eastAsia="en-US"/>
              </w:rPr>
              <w:t xml:space="preserve">6 Myths and </w:t>
            </w:r>
            <w:proofErr w:type="gramStart"/>
            <w:r w:rsidRPr="007C5B2B">
              <w:rPr>
                <w:rFonts w:eastAsia="Times New Roman" w:cs="Times New Roman"/>
                <w:color w:val="000000"/>
                <w:szCs w:val="20"/>
                <w:lang w:eastAsia="en-US"/>
              </w:rPr>
              <w:t>The</w:t>
            </w:r>
            <w:proofErr w:type="gramEnd"/>
            <w:r w:rsidRPr="007C5B2B">
              <w:rPr>
                <w:rFonts w:eastAsia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28111B">
              <w:rPr>
                <w:rFonts w:eastAsia="Times New Roman" w:cs="Times New Roman"/>
                <w:color w:val="000000"/>
                <w:szCs w:val="20"/>
                <w:lang w:eastAsia="en-US"/>
              </w:rPr>
              <w:t>4</w:t>
            </w:r>
            <w:r w:rsidRPr="007C5B2B">
              <w:rPr>
                <w:rFonts w:eastAsia="Times New Roman" w:cs="Times New Roman"/>
                <w:color w:val="000000"/>
                <w:szCs w:val="20"/>
                <w:lang w:eastAsia="en-US"/>
              </w:rPr>
              <w:t xml:space="preserve"> Meta Themes for Engagement.</w:t>
            </w:r>
          </w:p>
        </w:tc>
      </w:tr>
      <w:tr w:rsidR="00F31325" w:rsidRPr="004F0A81" w14:paraId="2D4DC090" w14:textId="77777777" w:rsidTr="00F31325">
        <w:trPr>
          <w:trHeight w:val="260"/>
        </w:trPr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000000" w:fill="FDE9D9"/>
            <w:noWrap/>
            <w:hideMark/>
          </w:tcPr>
          <w:p w14:paraId="693DCDB4" w14:textId="73EBC1CB" w:rsidR="00F31325" w:rsidRPr="004F0A81" w:rsidRDefault="00F31325" w:rsidP="004F0A81">
            <w:pPr>
              <w:rPr>
                <w:rFonts w:eastAsia="Times New Roman" w:cs="Times New Roman"/>
                <w:color w:val="000000"/>
                <w:szCs w:val="20"/>
                <w:lang w:eastAsia="en-US"/>
              </w:rPr>
            </w:pPr>
            <w:r w:rsidRPr="004F0A81">
              <w:rPr>
                <w:rFonts w:eastAsia="Times New Roman" w:cs="Times New Roman"/>
                <w:color w:val="000000"/>
                <w:szCs w:val="20"/>
                <w:lang w:eastAsia="en-US"/>
              </w:rPr>
              <w:t>17:</w:t>
            </w:r>
            <w:r>
              <w:rPr>
                <w:rFonts w:eastAsia="Times New Roman" w:cs="Times New Roman"/>
                <w:color w:val="000000"/>
                <w:szCs w:val="20"/>
                <w:lang w:eastAsia="en-US"/>
              </w:rPr>
              <w:t>30</w:t>
            </w:r>
          </w:p>
        </w:tc>
        <w:tc>
          <w:tcPr>
            <w:tcW w:w="3954" w:type="dxa"/>
            <w:tcBorders>
              <w:top w:val="nil"/>
              <w:left w:val="nil"/>
              <w:right w:val="nil"/>
            </w:tcBorders>
            <w:shd w:val="clear" w:color="000000" w:fill="FDE9D9"/>
            <w:hideMark/>
          </w:tcPr>
          <w:p w14:paraId="03096E40" w14:textId="18F1A7DB" w:rsidR="00F31325" w:rsidRPr="004F0A81" w:rsidRDefault="00F31325" w:rsidP="004F0A81">
            <w:pPr>
              <w:rPr>
                <w:rFonts w:eastAsia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en-US"/>
              </w:rPr>
              <w:t>Wrap up</w:t>
            </w:r>
          </w:p>
        </w:tc>
      </w:tr>
      <w:tr w:rsidR="00F31325" w:rsidRPr="004F0A81" w14:paraId="21E3DA6C" w14:textId="77777777" w:rsidTr="00F31325">
        <w:trPr>
          <w:trHeight w:val="2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5C1E4549" w14:textId="7CB556FE" w:rsidR="00F31325" w:rsidRPr="004F0A81" w:rsidRDefault="00F31325" w:rsidP="004F0A81">
            <w:pPr>
              <w:rPr>
                <w:rFonts w:eastAsia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en-US"/>
              </w:rPr>
              <w:t>19:00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54F690" w14:textId="43733B7F" w:rsidR="00F31325" w:rsidRDefault="00F31325" w:rsidP="004F0A81">
            <w:pPr>
              <w:rPr>
                <w:rFonts w:eastAsia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en-US"/>
              </w:rPr>
              <w:t>Pre-dinner drinks</w:t>
            </w:r>
          </w:p>
        </w:tc>
      </w:tr>
      <w:tr w:rsidR="00F31325" w:rsidRPr="004F0A81" w14:paraId="506B012C" w14:textId="77777777" w:rsidTr="00F31325">
        <w:trPr>
          <w:trHeight w:val="2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14:paraId="038FAC4D" w14:textId="1F5FAFC9" w:rsidR="00F31325" w:rsidRPr="004F0A81" w:rsidRDefault="00F31325" w:rsidP="004F0A81">
            <w:pPr>
              <w:rPr>
                <w:rFonts w:eastAsia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en-US"/>
              </w:rPr>
              <w:t>19:45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9D1C30A" w14:textId="360968C7" w:rsidR="00F31325" w:rsidRDefault="00F31325" w:rsidP="004F0A81">
            <w:pPr>
              <w:rPr>
                <w:rFonts w:eastAsia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en-US"/>
              </w:rPr>
              <w:t>Dinner</w:t>
            </w:r>
          </w:p>
        </w:tc>
      </w:tr>
    </w:tbl>
    <w:p w14:paraId="1AE123D0" w14:textId="77777777" w:rsidR="00186A68" w:rsidRDefault="00186A68" w:rsidP="00186A68"/>
    <w:p w14:paraId="4A27B1B0" w14:textId="77777777" w:rsidR="00186A68" w:rsidRPr="003F4579" w:rsidRDefault="00F34435" w:rsidP="00F34435">
      <w:pPr>
        <w:jc w:val="center"/>
        <w:rPr>
          <w:b/>
          <w:sz w:val="24"/>
        </w:rPr>
      </w:pPr>
      <w:r w:rsidRPr="003F4579">
        <w:rPr>
          <w:b/>
          <w:sz w:val="24"/>
        </w:rPr>
        <w:t>How Much?</w:t>
      </w:r>
    </w:p>
    <w:p w14:paraId="5FA35E61" w14:textId="640F4E86" w:rsidR="00F34435" w:rsidRDefault="00CF0099" w:rsidP="00F34435">
      <w:pPr>
        <w:jc w:val="center"/>
      </w:pPr>
      <w:r>
        <w:t>£1,000 - £1,500 + VAT per supplier depending on the expense of the professional speakers and evening entertainment.</w:t>
      </w:r>
      <w:r w:rsidR="007737E8">
        <w:t xml:space="preserve">  A fraction of the cost of something like Alternative Management/IT or </w:t>
      </w:r>
      <w:proofErr w:type="spellStart"/>
      <w:r w:rsidR="007737E8">
        <w:t>Glenlegal</w:t>
      </w:r>
      <w:proofErr w:type="spellEnd"/>
      <w:r w:rsidR="001D0329">
        <w:t xml:space="preserve"> (no offence to </w:t>
      </w:r>
      <w:r w:rsidR="00600AC7">
        <w:t>either</w:t>
      </w:r>
      <w:r w:rsidR="001D0329">
        <w:t xml:space="preserve"> of those great events).</w:t>
      </w:r>
    </w:p>
    <w:p w14:paraId="3E74A32A" w14:textId="22055B1C" w:rsidR="003F4579" w:rsidRDefault="003F4579" w:rsidP="00671796">
      <w:pPr>
        <w:jc w:val="center"/>
      </w:pPr>
    </w:p>
    <w:sectPr w:rsidR="003F4579" w:rsidSect="00E93100">
      <w:pgSz w:w="11900" w:h="16840"/>
      <w:pgMar w:top="1378" w:right="1080" w:bottom="1851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Regular">
    <w:panose1 w:val="020B0604020202020204"/>
    <w:charset w:val="4D"/>
    <w:family w:val="swiss"/>
    <w:pitch w:val="variable"/>
    <w:sig w:usb0="A00000AF" w:usb1="5000604B" w:usb2="00000000" w:usb3="00000000" w:csb0="00000093" w:csb1="00000000"/>
  </w:font>
  <w:font w:name="Lato Light">
    <w:altName w:val="Lato Light"/>
    <w:panose1 w:val="020F0302020204030203"/>
    <w:charset w:val="4D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37ECA"/>
    <w:multiLevelType w:val="multilevel"/>
    <w:tmpl w:val="3E907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F6A0578"/>
    <w:multiLevelType w:val="multilevel"/>
    <w:tmpl w:val="38403F1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position w:val="0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D20A9E"/>
    <w:multiLevelType w:val="hybridMultilevel"/>
    <w:tmpl w:val="E04A05FE"/>
    <w:lvl w:ilvl="0" w:tplc="66EABEC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A68"/>
    <w:rsid w:val="000239B8"/>
    <w:rsid w:val="000357B0"/>
    <w:rsid w:val="00063DD0"/>
    <w:rsid w:val="000856F1"/>
    <w:rsid w:val="000861D2"/>
    <w:rsid w:val="000A368A"/>
    <w:rsid w:val="000A5918"/>
    <w:rsid w:val="000D6445"/>
    <w:rsid w:val="00111796"/>
    <w:rsid w:val="001663FF"/>
    <w:rsid w:val="00166601"/>
    <w:rsid w:val="00186A68"/>
    <w:rsid w:val="001A7807"/>
    <w:rsid w:val="001C2C99"/>
    <w:rsid w:val="001D0329"/>
    <w:rsid w:val="001D0A1F"/>
    <w:rsid w:val="001D56E8"/>
    <w:rsid w:val="002007BA"/>
    <w:rsid w:val="00227C23"/>
    <w:rsid w:val="0028111B"/>
    <w:rsid w:val="00291584"/>
    <w:rsid w:val="00295C5D"/>
    <w:rsid w:val="002B3C04"/>
    <w:rsid w:val="002D7E15"/>
    <w:rsid w:val="003060B2"/>
    <w:rsid w:val="00310FB1"/>
    <w:rsid w:val="0032294D"/>
    <w:rsid w:val="00364563"/>
    <w:rsid w:val="00385C5C"/>
    <w:rsid w:val="003A17F1"/>
    <w:rsid w:val="003A4B86"/>
    <w:rsid w:val="003A755B"/>
    <w:rsid w:val="003F4579"/>
    <w:rsid w:val="00410754"/>
    <w:rsid w:val="00412834"/>
    <w:rsid w:val="0041645B"/>
    <w:rsid w:val="00481902"/>
    <w:rsid w:val="004F0A81"/>
    <w:rsid w:val="004F266F"/>
    <w:rsid w:val="004F380F"/>
    <w:rsid w:val="005074A0"/>
    <w:rsid w:val="005140C8"/>
    <w:rsid w:val="00526CC4"/>
    <w:rsid w:val="00531B75"/>
    <w:rsid w:val="00581B86"/>
    <w:rsid w:val="005F4089"/>
    <w:rsid w:val="005F642E"/>
    <w:rsid w:val="00600AC7"/>
    <w:rsid w:val="0061159F"/>
    <w:rsid w:val="00633B99"/>
    <w:rsid w:val="006676E4"/>
    <w:rsid w:val="00671796"/>
    <w:rsid w:val="00686AD8"/>
    <w:rsid w:val="006931EF"/>
    <w:rsid w:val="00695630"/>
    <w:rsid w:val="006E5530"/>
    <w:rsid w:val="00732349"/>
    <w:rsid w:val="00750FB9"/>
    <w:rsid w:val="007616F5"/>
    <w:rsid w:val="007737E8"/>
    <w:rsid w:val="00792BD5"/>
    <w:rsid w:val="007C5B2B"/>
    <w:rsid w:val="007D7A28"/>
    <w:rsid w:val="007E5E60"/>
    <w:rsid w:val="007F0FA7"/>
    <w:rsid w:val="007F7207"/>
    <w:rsid w:val="00811B81"/>
    <w:rsid w:val="008143CC"/>
    <w:rsid w:val="00824A5A"/>
    <w:rsid w:val="008444A2"/>
    <w:rsid w:val="00855D92"/>
    <w:rsid w:val="008711F0"/>
    <w:rsid w:val="008762B3"/>
    <w:rsid w:val="008B1B70"/>
    <w:rsid w:val="008C1800"/>
    <w:rsid w:val="008C6582"/>
    <w:rsid w:val="008F156E"/>
    <w:rsid w:val="008F5702"/>
    <w:rsid w:val="0092385E"/>
    <w:rsid w:val="00934736"/>
    <w:rsid w:val="0095549E"/>
    <w:rsid w:val="00957251"/>
    <w:rsid w:val="0096777E"/>
    <w:rsid w:val="00993D87"/>
    <w:rsid w:val="009A047C"/>
    <w:rsid w:val="009C5B64"/>
    <w:rsid w:val="009D1B39"/>
    <w:rsid w:val="009E0677"/>
    <w:rsid w:val="009E6786"/>
    <w:rsid w:val="00A03B6A"/>
    <w:rsid w:val="00A03C00"/>
    <w:rsid w:val="00A22018"/>
    <w:rsid w:val="00A26627"/>
    <w:rsid w:val="00AA0B44"/>
    <w:rsid w:val="00AA500F"/>
    <w:rsid w:val="00B14A67"/>
    <w:rsid w:val="00B45C49"/>
    <w:rsid w:val="00B50211"/>
    <w:rsid w:val="00B559F5"/>
    <w:rsid w:val="00B721FA"/>
    <w:rsid w:val="00BC32F6"/>
    <w:rsid w:val="00BD15A7"/>
    <w:rsid w:val="00BF7269"/>
    <w:rsid w:val="00BF7CA5"/>
    <w:rsid w:val="00C4317B"/>
    <w:rsid w:val="00C61FF6"/>
    <w:rsid w:val="00C6520B"/>
    <w:rsid w:val="00C77503"/>
    <w:rsid w:val="00C800AF"/>
    <w:rsid w:val="00CD0CB6"/>
    <w:rsid w:val="00CF0099"/>
    <w:rsid w:val="00CF56C7"/>
    <w:rsid w:val="00D00C69"/>
    <w:rsid w:val="00D3046A"/>
    <w:rsid w:val="00D62571"/>
    <w:rsid w:val="00D63A99"/>
    <w:rsid w:val="00D7687F"/>
    <w:rsid w:val="00DA0CB5"/>
    <w:rsid w:val="00E03EFB"/>
    <w:rsid w:val="00E3092C"/>
    <w:rsid w:val="00E60A70"/>
    <w:rsid w:val="00E742AA"/>
    <w:rsid w:val="00E87740"/>
    <w:rsid w:val="00E93100"/>
    <w:rsid w:val="00EA525F"/>
    <w:rsid w:val="00EC38E3"/>
    <w:rsid w:val="00F01109"/>
    <w:rsid w:val="00F03323"/>
    <w:rsid w:val="00F14FCA"/>
    <w:rsid w:val="00F150B8"/>
    <w:rsid w:val="00F31325"/>
    <w:rsid w:val="00F34435"/>
    <w:rsid w:val="00F37209"/>
    <w:rsid w:val="00F54FD9"/>
    <w:rsid w:val="00F63634"/>
    <w:rsid w:val="00FD7A75"/>
    <w:rsid w:val="00FF2228"/>
    <w:rsid w:val="00FF25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E32AC"/>
  <w15:docId w15:val="{0EA945DE-59D7-4944-A6DF-AF49B303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6F1"/>
    <w:rPr>
      <w:rFonts w:ascii="Lato Regular" w:hAnsi="Lato Regular"/>
      <w:sz w:val="20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7616F5"/>
    <w:pPr>
      <w:keepNext/>
      <w:pageBreakBefore/>
      <w:numPr>
        <w:numId w:val="4"/>
      </w:numPr>
      <w:spacing w:line="480" w:lineRule="exact"/>
      <w:outlineLvl w:val="0"/>
    </w:pPr>
    <w:rPr>
      <w:rFonts w:ascii="Lato Light" w:hAnsi="Lato Light" w:cs="Arial"/>
      <w:color w:val="E24912"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autoRedefine/>
    <w:qFormat/>
    <w:rsid w:val="007616F5"/>
    <w:pPr>
      <w:keepNext w:val="0"/>
      <w:pageBreakBefore w:val="0"/>
      <w:numPr>
        <w:ilvl w:val="1"/>
        <w:numId w:val="1"/>
      </w:numPr>
      <w:tabs>
        <w:tab w:val="left" w:pos="425"/>
      </w:tabs>
      <w:spacing w:line="320" w:lineRule="exact"/>
      <w:ind w:left="0" w:firstLine="0"/>
      <w:outlineLvl w:val="1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rsid w:val="003A755B"/>
    <w:pPr>
      <w:spacing w:before="120"/>
    </w:pPr>
    <w:rPr>
      <w:b/>
    </w:rPr>
  </w:style>
  <w:style w:type="character" w:customStyle="1" w:styleId="Heading2Char">
    <w:name w:val="Heading 2 Char"/>
    <w:link w:val="Heading2"/>
    <w:rsid w:val="007616F5"/>
    <w:rPr>
      <w:rFonts w:ascii="Lato Light" w:hAnsi="Lato Light" w:cs="Arial"/>
      <w:color w:val="E24912"/>
      <w:kern w:val="32"/>
      <w:szCs w:val="3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4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2E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616F5"/>
    <w:rPr>
      <w:rFonts w:ascii="Lato Light" w:eastAsia="Times New Roman" w:hAnsi="Lato Light" w:cs="Arial"/>
      <w:color w:val="E24912"/>
      <w:kern w:val="32"/>
      <w:sz w:val="40"/>
      <w:szCs w:val="40"/>
      <w:lang w:val="en-GB" w:eastAsia="en-GB"/>
    </w:rPr>
  </w:style>
  <w:style w:type="paragraph" w:styleId="ListParagraph">
    <w:name w:val="List Paragraph"/>
    <w:basedOn w:val="Normal"/>
    <w:uiPriority w:val="34"/>
    <w:qFormat/>
    <w:rsid w:val="00993D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6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stage.co.uk/speakers/mark-robb" TargetMode="External"/><Relationship Id="rId5" Type="http://schemas.openxmlformats.org/officeDocument/2006/relationships/hyperlink" Target="https://vistage.co.uk/speakers/malcolm-smi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Conscious Solutions Ltd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Gilroy</dc:creator>
  <cp:keywords/>
  <dc:description/>
  <cp:lastModifiedBy>David Gilroy</cp:lastModifiedBy>
  <cp:revision>21</cp:revision>
  <cp:lastPrinted>2018-10-21T18:05:00Z</cp:lastPrinted>
  <dcterms:created xsi:type="dcterms:W3CDTF">2017-05-02T22:05:00Z</dcterms:created>
  <dcterms:modified xsi:type="dcterms:W3CDTF">2021-06-04T14:06:00Z</dcterms:modified>
</cp:coreProperties>
</file>